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DA" w:rsidRPr="00E31EBB" w:rsidRDefault="001408DA" w:rsidP="00E31EBB">
      <w:pPr>
        <w:spacing w:before="60" w:after="0" w:line="360" w:lineRule="exact"/>
        <w:jc w:val="center"/>
        <w:rPr>
          <w:rFonts w:eastAsia="Calibri"/>
          <w:b/>
          <w:bCs/>
          <w:sz w:val="28"/>
        </w:rPr>
      </w:pPr>
      <w:r w:rsidRPr="00E31EBB">
        <w:rPr>
          <w:rFonts w:eastAsia="Calibri"/>
          <w:b/>
          <w:bCs/>
          <w:sz w:val="28"/>
        </w:rPr>
        <w:t>DANH SÁCH</w:t>
      </w:r>
    </w:p>
    <w:p w:rsidR="00E31EBB" w:rsidRDefault="00E31EBB" w:rsidP="00E31EBB">
      <w:pPr>
        <w:spacing w:before="60" w:after="0" w:line="360" w:lineRule="exact"/>
        <w:jc w:val="center"/>
        <w:rPr>
          <w:rFonts w:eastAsia="Calibri"/>
          <w:bCs/>
          <w:sz w:val="26"/>
          <w:szCs w:val="26"/>
        </w:rPr>
      </w:pPr>
      <w:r w:rsidRPr="00E31EBB">
        <w:rPr>
          <w:rFonts w:eastAsia="Calibri"/>
          <w:bCs/>
          <w:sz w:val="26"/>
          <w:szCs w:val="26"/>
        </w:rPr>
        <w:t>1</w:t>
      </w:r>
      <w:r w:rsidR="00FF6E9B">
        <w:rPr>
          <w:rFonts w:eastAsia="Calibri"/>
          <w:bCs/>
          <w:sz w:val="26"/>
          <w:szCs w:val="26"/>
        </w:rPr>
        <w:t>3</w:t>
      </w:r>
      <w:r w:rsidRPr="00E31EBB">
        <w:rPr>
          <w:rFonts w:eastAsia="Calibri"/>
          <w:bCs/>
          <w:sz w:val="26"/>
          <w:szCs w:val="26"/>
        </w:rPr>
        <w:t xml:space="preserve"> </w:t>
      </w:r>
      <w:r w:rsidR="002B12B3" w:rsidRPr="00E31EBB">
        <w:rPr>
          <w:rFonts w:eastAsia="Calibri"/>
          <w:bCs/>
          <w:sz w:val="26"/>
          <w:szCs w:val="26"/>
        </w:rPr>
        <w:t xml:space="preserve">LUẬT, </w:t>
      </w:r>
      <w:r w:rsidRPr="00E31EBB">
        <w:rPr>
          <w:rFonts w:eastAsia="Calibri"/>
          <w:bCs/>
          <w:sz w:val="26"/>
          <w:szCs w:val="26"/>
        </w:rPr>
        <w:t>03</w:t>
      </w:r>
      <w:r w:rsidR="002B12B3" w:rsidRPr="00E31EBB">
        <w:rPr>
          <w:rFonts w:eastAsia="Calibri"/>
          <w:bCs/>
          <w:sz w:val="26"/>
          <w:szCs w:val="26"/>
        </w:rPr>
        <w:t xml:space="preserve"> NGHỊ QUYẾT ĐƯỢC THÔNG QUA </w:t>
      </w:r>
    </w:p>
    <w:p w:rsidR="001408DA" w:rsidRDefault="002B12B3" w:rsidP="00E31EBB">
      <w:pPr>
        <w:spacing w:before="60" w:after="0" w:line="360" w:lineRule="exact"/>
        <w:jc w:val="center"/>
        <w:rPr>
          <w:rFonts w:eastAsia="Calibri"/>
          <w:bCs/>
          <w:sz w:val="26"/>
          <w:szCs w:val="26"/>
        </w:rPr>
      </w:pPr>
      <w:r w:rsidRPr="00E31EBB">
        <w:rPr>
          <w:rFonts w:eastAsia="Calibri"/>
          <w:bCs/>
          <w:sz w:val="26"/>
          <w:szCs w:val="26"/>
        </w:rPr>
        <w:t>TẠI KỲ HỌP THỨ 7 QUỐC HỘI KHÓA XV</w:t>
      </w:r>
    </w:p>
    <w:p w:rsidR="00494BC0" w:rsidRPr="00E31EBB" w:rsidRDefault="003A15EC" w:rsidP="00E31EBB">
      <w:pPr>
        <w:spacing w:before="60" w:after="0" w:line="360" w:lineRule="exact"/>
        <w:jc w:val="center"/>
        <w:rPr>
          <w:rFonts w:eastAsia="Calibri"/>
          <w:bCs/>
          <w:sz w:val="26"/>
          <w:szCs w:val="26"/>
        </w:rPr>
      </w:pPr>
      <w:r>
        <w:rPr>
          <w:rFonts w:eastAsia="Calibri"/>
          <w:bCs/>
          <w:sz w:val="26"/>
          <w:szCs w:val="26"/>
        </w:rPr>
        <w:t>04 THÔNG TƯ</w:t>
      </w:r>
      <w:r w:rsidR="00494BC0">
        <w:rPr>
          <w:rFonts w:eastAsia="Calibri"/>
          <w:bCs/>
          <w:sz w:val="26"/>
          <w:szCs w:val="26"/>
        </w:rPr>
        <w:t>; 02 NGHỊ QUYẾT, 03 QUYẾT ĐỊNH CỦA TỈNH</w:t>
      </w:r>
    </w:p>
    <w:p w:rsidR="00E31EBB" w:rsidRDefault="00E31EBB" w:rsidP="00033BBC">
      <w:pPr>
        <w:spacing w:before="120" w:after="0" w:line="360" w:lineRule="exact"/>
        <w:rPr>
          <w:rFonts w:eastAsia="Calibri"/>
          <w:bCs/>
          <w:sz w:val="28"/>
        </w:rPr>
      </w:pPr>
    </w:p>
    <w:p w:rsidR="002B12B3" w:rsidRPr="000F5980" w:rsidRDefault="001025FA" w:rsidP="000F5980">
      <w:pPr>
        <w:spacing w:before="120" w:after="0" w:line="360" w:lineRule="exact"/>
        <w:ind w:firstLine="720"/>
        <w:rPr>
          <w:rFonts w:eastAsia="Calibri"/>
          <w:b/>
          <w:bCs/>
          <w:sz w:val="28"/>
        </w:rPr>
      </w:pPr>
      <w:r w:rsidRPr="000F5980">
        <w:rPr>
          <w:rFonts w:eastAsia="Calibri"/>
          <w:b/>
          <w:bCs/>
          <w:sz w:val="28"/>
        </w:rPr>
        <w:t>I.</w:t>
      </w:r>
      <w:r w:rsidR="00E31EBB" w:rsidRPr="000F5980">
        <w:rPr>
          <w:rFonts w:eastAsia="Calibri"/>
          <w:b/>
          <w:bCs/>
          <w:sz w:val="28"/>
        </w:rPr>
        <w:t>1</w:t>
      </w:r>
      <w:r w:rsidR="00FF6E9B">
        <w:rPr>
          <w:rFonts w:eastAsia="Calibri"/>
          <w:b/>
          <w:bCs/>
          <w:sz w:val="28"/>
        </w:rPr>
        <w:t>3</w:t>
      </w:r>
      <w:r w:rsidR="002B12B3" w:rsidRPr="000F5980">
        <w:rPr>
          <w:rFonts w:eastAsia="Calibri"/>
          <w:b/>
          <w:bCs/>
          <w:sz w:val="28"/>
        </w:rPr>
        <w:t xml:space="preserve"> LUẬT</w:t>
      </w:r>
    </w:p>
    <w:p w:rsidR="00FF6E9B" w:rsidRPr="00FF6E9B" w:rsidRDefault="00FF6E9B" w:rsidP="00FF6E9B">
      <w:pPr>
        <w:spacing w:before="120" w:after="0" w:line="360" w:lineRule="exact"/>
        <w:ind w:left="720" w:firstLine="720"/>
        <w:rPr>
          <w:rFonts w:eastAsia="Calibri"/>
          <w:b/>
          <w:sz w:val="28"/>
        </w:rPr>
      </w:pPr>
      <w:r w:rsidRPr="00FF6E9B">
        <w:rPr>
          <w:rFonts w:eastAsia="Calibri"/>
          <w:b/>
          <w:sz w:val="28"/>
        </w:rPr>
        <w:t>Các Luật có hiệu lực từ 1/1/2024, bao gồm:</w:t>
      </w:r>
    </w:p>
    <w:p w:rsidR="00FF6E9B" w:rsidRDefault="00FF6E9B" w:rsidP="000F5980">
      <w:pPr>
        <w:spacing w:before="120" w:after="0" w:line="360" w:lineRule="exact"/>
        <w:ind w:firstLine="720"/>
        <w:rPr>
          <w:rFonts w:eastAsia="Calibri"/>
          <w:sz w:val="28"/>
        </w:rPr>
      </w:pPr>
      <w:r>
        <w:rPr>
          <w:rFonts w:eastAsia="Calibri"/>
          <w:sz w:val="28"/>
        </w:rPr>
        <w:t>1. Luật đấu thầu năm 2023;</w:t>
      </w:r>
    </w:p>
    <w:p w:rsidR="00FF6E9B" w:rsidRDefault="00FF6E9B" w:rsidP="000F5980">
      <w:pPr>
        <w:spacing w:before="120" w:after="0" w:line="360" w:lineRule="exact"/>
        <w:ind w:firstLine="720"/>
        <w:rPr>
          <w:rFonts w:eastAsia="Calibri"/>
          <w:sz w:val="28"/>
        </w:rPr>
      </w:pPr>
      <w:r>
        <w:rPr>
          <w:rFonts w:eastAsia="Calibri"/>
          <w:sz w:val="28"/>
        </w:rPr>
        <w:t>2. Luật khám bệnh, chữa bệnh năm 2023;</w:t>
      </w:r>
    </w:p>
    <w:p w:rsidR="00FF6E9B" w:rsidRDefault="00FF6E9B" w:rsidP="000F5980">
      <w:pPr>
        <w:spacing w:before="120" w:after="0" w:line="360" w:lineRule="exact"/>
        <w:ind w:firstLine="720"/>
        <w:rPr>
          <w:rFonts w:eastAsia="Calibri"/>
          <w:sz w:val="28"/>
        </w:rPr>
      </w:pPr>
      <w:r>
        <w:rPr>
          <w:rFonts w:eastAsia="Calibri"/>
          <w:sz w:val="28"/>
        </w:rPr>
        <w:t>3. Luật thi đua, khen thưởng năm 2022;</w:t>
      </w:r>
    </w:p>
    <w:p w:rsidR="00FF6E9B" w:rsidRPr="00FF6E9B" w:rsidRDefault="00FF6E9B" w:rsidP="00FF6E9B">
      <w:pPr>
        <w:spacing w:before="120" w:after="0" w:line="360" w:lineRule="exact"/>
        <w:ind w:left="720" w:firstLine="720"/>
        <w:rPr>
          <w:rFonts w:eastAsia="Calibri"/>
          <w:b/>
          <w:sz w:val="28"/>
        </w:rPr>
      </w:pPr>
      <w:r w:rsidRPr="00FF6E9B">
        <w:rPr>
          <w:rFonts w:eastAsia="Calibri"/>
          <w:b/>
          <w:sz w:val="28"/>
        </w:rPr>
        <w:t>Các Luật có hiệu lực từ 1/7/2024, bao gồm:</w:t>
      </w:r>
    </w:p>
    <w:p w:rsidR="001025FA" w:rsidRDefault="001025FA" w:rsidP="000F5980">
      <w:pPr>
        <w:spacing w:before="120" w:after="0" w:line="360" w:lineRule="exact"/>
        <w:ind w:firstLine="720"/>
        <w:rPr>
          <w:rFonts w:eastAsia="Calibri"/>
          <w:sz w:val="28"/>
        </w:rPr>
      </w:pPr>
      <w:r>
        <w:rPr>
          <w:rFonts w:eastAsia="Calibri"/>
          <w:sz w:val="28"/>
        </w:rPr>
        <w:t xml:space="preserve">1. </w:t>
      </w:r>
      <w:r w:rsidR="001408DA" w:rsidRPr="00C305D8">
        <w:rPr>
          <w:rFonts w:eastAsia="Calibri"/>
          <w:sz w:val="28"/>
        </w:rPr>
        <w:t>Luật Căn cước</w:t>
      </w:r>
      <w:r w:rsidR="001408DA">
        <w:rPr>
          <w:rFonts w:eastAsia="Calibri"/>
          <w:sz w:val="28"/>
        </w:rPr>
        <w:t xml:space="preserve"> năm</w:t>
      </w:r>
      <w:r w:rsidR="001408DA" w:rsidRPr="00C305D8">
        <w:rPr>
          <w:rFonts w:eastAsia="Calibri"/>
          <w:sz w:val="28"/>
        </w:rPr>
        <w:t xml:space="preserve"> 2023; </w:t>
      </w:r>
    </w:p>
    <w:p w:rsidR="001025FA" w:rsidRDefault="001025FA" w:rsidP="000F5980">
      <w:pPr>
        <w:spacing w:before="120" w:after="0" w:line="360" w:lineRule="exact"/>
        <w:ind w:firstLine="720"/>
        <w:rPr>
          <w:rFonts w:eastAsia="Calibri"/>
          <w:sz w:val="28"/>
        </w:rPr>
      </w:pPr>
      <w:r>
        <w:rPr>
          <w:rFonts w:eastAsia="Calibri"/>
          <w:sz w:val="28"/>
        </w:rPr>
        <w:t xml:space="preserve">2. </w:t>
      </w:r>
      <w:r w:rsidR="001408DA" w:rsidRPr="00C305D8">
        <w:rPr>
          <w:rFonts w:eastAsia="Calibri"/>
          <w:sz w:val="28"/>
        </w:rPr>
        <w:t xml:space="preserve">Luật Lực lượng tham gia bảo vệ </w:t>
      </w:r>
      <w:proofErr w:type="gramStart"/>
      <w:r w:rsidR="001408DA" w:rsidRPr="00C305D8">
        <w:rPr>
          <w:rFonts w:eastAsia="Calibri"/>
          <w:sz w:val="28"/>
        </w:rPr>
        <w:t>an</w:t>
      </w:r>
      <w:proofErr w:type="gramEnd"/>
      <w:r w:rsidR="001408DA" w:rsidRPr="00C305D8">
        <w:rPr>
          <w:rFonts w:eastAsia="Calibri"/>
          <w:sz w:val="28"/>
        </w:rPr>
        <w:t xml:space="preserve"> ninh, trật tự ở cơ sở</w:t>
      </w:r>
      <w:r w:rsidR="001408DA">
        <w:rPr>
          <w:rFonts w:eastAsia="Calibri"/>
          <w:sz w:val="28"/>
        </w:rPr>
        <w:t xml:space="preserve"> năm</w:t>
      </w:r>
      <w:r w:rsidR="001408DA" w:rsidRPr="00C305D8">
        <w:rPr>
          <w:rFonts w:eastAsia="Calibri"/>
          <w:sz w:val="28"/>
        </w:rPr>
        <w:t xml:space="preserve"> 2023; </w:t>
      </w:r>
    </w:p>
    <w:p w:rsidR="001025FA" w:rsidRDefault="001025FA" w:rsidP="000F5980">
      <w:pPr>
        <w:spacing w:before="120" w:after="0" w:line="360" w:lineRule="exact"/>
        <w:ind w:firstLine="720"/>
        <w:rPr>
          <w:rFonts w:eastAsia="Calibri"/>
          <w:sz w:val="28"/>
        </w:rPr>
      </w:pPr>
      <w:r>
        <w:rPr>
          <w:rFonts w:eastAsia="Calibri"/>
          <w:sz w:val="28"/>
        </w:rPr>
        <w:t xml:space="preserve">3. </w:t>
      </w:r>
      <w:r w:rsidR="001408DA" w:rsidRPr="00C305D8">
        <w:rPr>
          <w:rFonts w:eastAsia="Calibri"/>
          <w:sz w:val="28"/>
        </w:rPr>
        <w:t xml:space="preserve">Luật Phòng thủ dân sự </w:t>
      </w:r>
      <w:r w:rsidR="001408DA">
        <w:rPr>
          <w:rFonts w:eastAsia="Calibri"/>
          <w:sz w:val="28"/>
        </w:rPr>
        <w:t xml:space="preserve">năm </w:t>
      </w:r>
      <w:r w:rsidR="001408DA" w:rsidRPr="00C305D8">
        <w:rPr>
          <w:rFonts w:eastAsia="Calibri"/>
          <w:sz w:val="28"/>
        </w:rPr>
        <w:t>2023;</w:t>
      </w:r>
    </w:p>
    <w:p w:rsidR="001025FA" w:rsidRDefault="001025FA" w:rsidP="000F5980">
      <w:pPr>
        <w:spacing w:before="120" w:after="0" w:line="360" w:lineRule="exact"/>
        <w:ind w:firstLine="720"/>
        <w:rPr>
          <w:rFonts w:eastAsia="Calibri"/>
          <w:sz w:val="28"/>
        </w:rPr>
      </w:pPr>
      <w:r>
        <w:rPr>
          <w:rFonts w:eastAsia="Calibri"/>
          <w:sz w:val="28"/>
        </w:rPr>
        <w:t xml:space="preserve">4. </w:t>
      </w:r>
      <w:r w:rsidR="001408DA" w:rsidRPr="00C305D8">
        <w:rPr>
          <w:rFonts w:eastAsia="Calibri"/>
          <w:sz w:val="28"/>
        </w:rPr>
        <w:t xml:space="preserve">Luật Bảo vệ quyền lợi người tiêu dùng </w:t>
      </w:r>
      <w:r w:rsidR="001408DA">
        <w:rPr>
          <w:rFonts w:eastAsia="Calibri"/>
          <w:sz w:val="28"/>
        </w:rPr>
        <w:t xml:space="preserve">năm </w:t>
      </w:r>
      <w:r w:rsidR="001408DA" w:rsidRPr="00C305D8">
        <w:rPr>
          <w:rFonts w:eastAsia="Calibri"/>
          <w:sz w:val="28"/>
        </w:rPr>
        <w:t xml:space="preserve">2023; </w:t>
      </w:r>
    </w:p>
    <w:p w:rsidR="001025FA" w:rsidRDefault="001025FA" w:rsidP="000F5980">
      <w:pPr>
        <w:spacing w:before="120" w:after="0" w:line="360" w:lineRule="exact"/>
        <w:ind w:firstLine="720"/>
        <w:rPr>
          <w:rFonts w:eastAsia="Calibri"/>
          <w:sz w:val="28"/>
        </w:rPr>
      </w:pPr>
      <w:r>
        <w:rPr>
          <w:rFonts w:eastAsia="Calibri"/>
          <w:sz w:val="28"/>
        </w:rPr>
        <w:t xml:space="preserve">5. </w:t>
      </w:r>
      <w:r w:rsidR="001408DA" w:rsidRPr="00C305D8">
        <w:rPr>
          <w:rFonts w:eastAsia="Calibri"/>
          <w:sz w:val="28"/>
        </w:rPr>
        <w:t xml:space="preserve">Luật Giá </w:t>
      </w:r>
      <w:r w:rsidR="001408DA">
        <w:rPr>
          <w:rFonts w:eastAsia="Calibri"/>
          <w:sz w:val="28"/>
        </w:rPr>
        <w:t xml:space="preserve">năm </w:t>
      </w:r>
      <w:r w:rsidR="001408DA" w:rsidRPr="00C305D8">
        <w:rPr>
          <w:rFonts w:eastAsia="Calibri"/>
          <w:sz w:val="28"/>
        </w:rPr>
        <w:t>2023;</w:t>
      </w:r>
    </w:p>
    <w:p w:rsidR="001025FA" w:rsidRDefault="001025FA" w:rsidP="000F5980">
      <w:pPr>
        <w:spacing w:before="120" w:after="0" w:line="360" w:lineRule="exact"/>
        <w:ind w:firstLine="720"/>
        <w:rPr>
          <w:rFonts w:eastAsia="Calibri"/>
          <w:sz w:val="28"/>
        </w:rPr>
      </w:pPr>
      <w:r>
        <w:rPr>
          <w:rFonts w:eastAsia="Calibri"/>
          <w:sz w:val="28"/>
        </w:rPr>
        <w:t xml:space="preserve">6. </w:t>
      </w:r>
      <w:r w:rsidR="001408DA" w:rsidRPr="00C305D8">
        <w:rPr>
          <w:rFonts w:eastAsia="Calibri"/>
          <w:sz w:val="28"/>
        </w:rPr>
        <w:t xml:space="preserve">Luật Hợp tác xã </w:t>
      </w:r>
      <w:r w:rsidR="001408DA">
        <w:rPr>
          <w:rFonts w:eastAsia="Calibri"/>
          <w:sz w:val="28"/>
        </w:rPr>
        <w:t xml:space="preserve">năm </w:t>
      </w:r>
      <w:r w:rsidR="001408DA" w:rsidRPr="00C305D8">
        <w:rPr>
          <w:rFonts w:eastAsia="Calibri"/>
          <w:sz w:val="28"/>
        </w:rPr>
        <w:t>2023;</w:t>
      </w:r>
    </w:p>
    <w:p w:rsidR="001025FA" w:rsidRDefault="001025FA" w:rsidP="000F5980">
      <w:pPr>
        <w:spacing w:before="120" w:after="0" w:line="360" w:lineRule="exact"/>
        <w:ind w:firstLine="720"/>
        <w:rPr>
          <w:rFonts w:eastAsia="Calibri"/>
          <w:sz w:val="28"/>
        </w:rPr>
      </w:pPr>
      <w:r>
        <w:rPr>
          <w:rFonts w:eastAsia="Calibri"/>
          <w:sz w:val="28"/>
        </w:rPr>
        <w:t xml:space="preserve">7. </w:t>
      </w:r>
      <w:r w:rsidR="001408DA" w:rsidRPr="00C305D8">
        <w:rPr>
          <w:rFonts w:eastAsia="Calibri"/>
          <w:sz w:val="28"/>
        </w:rPr>
        <w:t xml:space="preserve">Luật Giao dịch điện tử </w:t>
      </w:r>
      <w:r w:rsidR="001408DA">
        <w:rPr>
          <w:rFonts w:eastAsia="Calibri"/>
          <w:sz w:val="28"/>
        </w:rPr>
        <w:t xml:space="preserve">năm </w:t>
      </w:r>
      <w:r w:rsidR="001408DA" w:rsidRPr="00C305D8">
        <w:rPr>
          <w:rFonts w:eastAsia="Calibri"/>
          <w:sz w:val="28"/>
        </w:rPr>
        <w:t>2023;</w:t>
      </w:r>
    </w:p>
    <w:p w:rsidR="001025FA" w:rsidRDefault="001025FA" w:rsidP="000F5980">
      <w:pPr>
        <w:spacing w:before="120" w:after="0" w:line="360" w:lineRule="exact"/>
        <w:ind w:firstLine="720"/>
        <w:rPr>
          <w:rFonts w:eastAsia="Calibri"/>
          <w:sz w:val="28"/>
        </w:rPr>
      </w:pPr>
      <w:r>
        <w:rPr>
          <w:rFonts w:eastAsia="Calibri"/>
          <w:sz w:val="28"/>
        </w:rPr>
        <w:t xml:space="preserve">8. </w:t>
      </w:r>
      <w:r w:rsidR="001408DA" w:rsidRPr="00C305D8">
        <w:rPr>
          <w:rFonts w:eastAsia="Calibri"/>
          <w:sz w:val="28"/>
        </w:rPr>
        <w:t xml:space="preserve">Luật Viễn thông </w:t>
      </w:r>
      <w:r w:rsidR="001408DA">
        <w:rPr>
          <w:rFonts w:eastAsia="Calibri"/>
          <w:sz w:val="28"/>
        </w:rPr>
        <w:t xml:space="preserve">năm </w:t>
      </w:r>
      <w:r w:rsidR="001408DA" w:rsidRPr="00C305D8">
        <w:rPr>
          <w:rFonts w:eastAsia="Calibri"/>
          <w:sz w:val="28"/>
        </w:rPr>
        <w:t>2023;</w:t>
      </w:r>
    </w:p>
    <w:p w:rsidR="001025FA" w:rsidRDefault="001025FA" w:rsidP="000F5980">
      <w:pPr>
        <w:spacing w:before="120" w:after="0" w:line="360" w:lineRule="exact"/>
        <w:ind w:firstLine="720"/>
        <w:rPr>
          <w:rFonts w:eastAsia="Calibri"/>
          <w:sz w:val="28"/>
        </w:rPr>
      </w:pPr>
      <w:r>
        <w:rPr>
          <w:rFonts w:eastAsia="Calibri"/>
          <w:sz w:val="28"/>
        </w:rPr>
        <w:t xml:space="preserve">9. </w:t>
      </w:r>
      <w:r w:rsidR="001408DA" w:rsidRPr="00C305D8">
        <w:rPr>
          <w:rFonts w:eastAsia="Calibri"/>
          <w:sz w:val="28"/>
        </w:rPr>
        <w:t xml:space="preserve">Luật Tài nguyên nước </w:t>
      </w:r>
      <w:r w:rsidR="001408DA">
        <w:rPr>
          <w:rFonts w:eastAsia="Calibri"/>
          <w:sz w:val="28"/>
        </w:rPr>
        <w:t xml:space="preserve">năm </w:t>
      </w:r>
      <w:r w:rsidR="001408DA" w:rsidRPr="00C305D8">
        <w:rPr>
          <w:rFonts w:eastAsia="Calibri"/>
          <w:sz w:val="28"/>
        </w:rPr>
        <w:t>2023;</w:t>
      </w:r>
    </w:p>
    <w:p w:rsidR="001025FA" w:rsidRDefault="001025FA" w:rsidP="000F5980">
      <w:pPr>
        <w:spacing w:before="120" w:after="0" w:line="360" w:lineRule="exact"/>
        <w:ind w:firstLine="720"/>
        <w:rPr>
          <w:rFonts w:eastAsia="Calibri"/>
          <w:sz w:val="28"/>
        </w:rPr>
      </w:pPr>
      <w:r>
        <w:rPr>
          <w:rFonts w:eastAsia="Calibri"/>
          <w:sz w:val="28"/>
        </w:rPr>
        <w:t xml:space="preserve">10. </w:t>
      </w:r>
      <w:r w:rsidR="001408DA" w:rsidRPr="00C305D8">
        <w:rPr>
          <w:rFonts w:eastAsia="Calibri"/>
          <w:sz w:val="28"/>
        </w:rPr>
        <w:t xml:space="preserve">Luật Các tổ chức tín dụng </w:t>
      </w:r>
      <w:r w:rsidR="001408DA">
        <w:rPr>
          <w:rFonts w:eastAsia="Calibri"/>
          <w:sz w:val="28"/>
        </w:rPr>
        <w:t xml:space="preserve">năm </w:t>
      </w:r>
      <w:r w:rsidR="001408DA" w:rsidRPr="00C305D8">
        <w:rPr>
          <w:rFonts w:eastAsia="Calibri"/>
          <w:sz w:val="28"/>
        </w:rPr>
        <w:t>2024</w:t>
      </w:r>
      <w:r w:rsidR="001408DA">
        <w:rPr>
          <w:rFonts w:eastAsia="Calibri"/>
          <w:sz w:val="28"/>
        </w:rPr>
        <w:t xml:space="preserve">; </w:t>
      </w:r>
    </w:p>
    <w:p w:rsidR="001025FA" w:rsidRPr="00FF6E9B" w:rsidRDefault="00ED456B" w:rsidP="00ED456B">
      <w:pPr>
        <w:pStyle w:val="Heading2"/>
        <w:spacing w:line="420" w:lineRule="atLeast"/>
        <w:rPr>
          <w:rFonts w:ascii="Times New Roman" w:eastAsia="Calibri" w:hAnsi="Times New Roman"/>
        </w:rPr>
      </w:pPr>
      <w:r>
        <w:rPr>
          <w:rFonts w:ascii="Merriweather" w:hAnsi="Merriweather"/>
          <w:color w:val="152C4A"/>
          <w:sz w:val="26"/>
          <w:szCs w:val="26"/>
        </w:rPr>
        <w:t xml:space="preserve">     </w:t>
      </w:r>
      <w:r w:rsidRPr="00ED456B">
        <w:rPr>
          <w:rFonts w:ascii="Merriweather" w:hAnsi="Merriweather"/>
          <w:color w:val="152C4A"/>
          <w:sz w:val="26"/>
          <w:szCs w:val="26"/>
        </w:rPr>
        <w:tab/>
      </w:r>
      <w:r w:rsidR="001025FA" w:rsidRPr="00FF6E9B">
        <w:rPr>
          <w:rFonts w:ascii="Times New Roman" w:eastAsia="Calibri" w:hAnsi="Times New Roman"/>
        </w:rPr>
        <w:t>II. 03 NGHỊ ĐỊNH</w:t>
      </w:r>
    </w:p>
    <w:p w:rsidR="001025FA" w:rsidRDefault="00E31EBB" w:rsidP="000F5980">
      <w:pPr>
        <w:spacing w:before="120" w:after="0" w:line="360" w:lineRule="exact"/>
        <w:ind w:firstLine="720"/>
        <w:rPr>
          <w:rFonts w:eastAsia="Calibri"/>
          <w:sz w:val="28"/>
        </w:rPr>
      </w:pPr>
      <w:r>
        <w:rPr>
          <w:rFonts w:eastAsia="Calibri"/>
          <w:sz w:val="28"/>
        </w:rPr>
        <w:t xml:space="preserve">1. </w:t>
      </w:r>
      <w:r w:rsidR="001025FA">
        <w:rPr>
          <w:rFonts w:eastAsia="Calibri"/>
          <w:sz w:val="28"/>
        </w:rPr>
        <w:t xml:space="preserve">Nghị định số 52/2024/NĐ-CP ngày 25/5/2024 của Chính phủ quy định về thanh toán không dùng tiền mặt; </w:t>
      </w:r>
    </w:p>
    <w:p w:rsidR="001025FA" w:rsidRDefault="00E31EBB" w:rsidP="000F5980">
      <w:pPr>
        <w:spacing w:before="120" w:after="0" w:line="360" w:lineRule="exact"/>
        <w:ind w:firstLine="720"/>
        <w:rPr>
          <w:rFonts w:eastAsia="Calibri"/>
          <w:sz w:val="28"/>
        </w:rPr>
      </w:pPr>
      <w:r>
        <w:rPr>
          <w:rFonts w:eastAsia="Calibri"/>
          <w:sz w:val="28"/>
        </w:rPr>
        <w:t xml:space="preserve">2. </w:t>
      </w:r>
      <w:r w:rsidR="001025FA">
        <w:rPr>
          <w:rFonts w:eastAsia="Calibri"/>
          <w:sz w:val="28"/>
        </w:rPr>
        <w:t xml:space="preserve">Nghị định số 72/2024/NĐ-CP ngày 30/6/2024 của Chính phủ </w:t>
      </w:r>
      <w:r w:rsidR="001025FA" w:rsidRPr="005B7FE8">
        <w:rPr>
          <w:rFonts w:eastAsia="Calibri"/>
          <w:sz w:val="28"/>
        </w:rPr>
        <w:t>quy định chính sách giảm thuế giá trị gia tăng theo Nghị quyết số 142/2024/QH15 ngày 29 tháng 6 năm 2024 của Quốc hội</w:t>
      </w:r>
      <w:r w:rsidR="001025FA">
        <w:rPr>
          <w:rFonts w:eastAsia="Calibri"/>
          <w:sz w:val="28"/>
        </w:rPr>
        <w:t xml:space="preserve">; </w:t>
      </w:r>
    </w:p>
    <w:p w:rsidR="001025FA" w:rsidRDefault="00E31EBB" w:rsidP="000F5980">
      <w:pPr>
        <w:spacing w:before="120" w:after="0" w:line="360" w:lineRule="exact"/>
        <w:ind w:firstLine="567"/>
        <w:rPr>
          <w:rFonts w:eastAsia="Calibri"/>
          <w:sz w:val="28"/>
        </w:rPr>
      </w:pPr>
      <w:r>
        <w:rPr>
          <w:rFonts w:eastAsia="Calibri"/>
          <w:sz w:val="28"/>
        </w:rPr>
        <w:t xml:space="preserve">3. </w:t>
      </w:r>
      <w:r w:rsidR="001025FA">
        <w:rPr>
          <w:rFonts w:eastAsia="Calibri"/>
          <w:sz w:val="28"/>
        </w:rPr>
        <w:t>Nghị định số 71/2024/NĐ-CP ngày 27/6/2024 của Chính phủ quy định về giá đất</w:t>
      </w:r>
    </w:p>
    <w:p w:rsidR="000F5980" w:rsidRPr="000F5980" w:rsidRDefault="000F5980" w:rsidP="00FF6E9B">
      <w:pPr>
        <w:pStyle w:val="ListParagraph"/>
        <w:tabs>
          <w:tab w:val="left" w:pos="990"/>
        </w:tabs>
        <w:spacing w:before="120" w:after="120" w:line="400" w:lineRule="atLeast"/>
        <w:ind w:left="0" w:firstLine="709"/>
        <w:contextualSpacing w:val="0"/>
        <w:jc w:val="both"/>
        <w:rPr>
          <w:b/>
          <w:spacing w:val="-6"/>
        </w:rPr>
      </w:pPr>
      <w:r w:rsidRPr="000F5980">
        <w:rPr>
          <w:b/>
          <w:spacing w:val="-6"/>
        </w:rPr>
        <w:t xml:space="preserve">III. </w:t>
      </w:r>
      <w:r w:rsidR="003A15EC">
        <w:rPr>
          <w:b/>
          <w:spacing w:val="-6"/>
        </w:rPr>
        <w:t>04</w:t>
      </w:r>
      <w:r>
        <w:rPr>
          <w:b/>
          <w:spacing w:val="-6"/>
        </w:rPr>
        <w:t xml:space="preserve"> </w:t>
      </w:r>
      <w:r w:rsidRPr="000F5980">
        <w:rPr>
          <w:b/>
          <w:spacing w:val="-6"/>
        </w:rPr>
        <w:t>THÔNG TƯ</w:t>
      </w:r>
    </w:p>
    <w:p w:rsidR="000F5980" w:rsidRDefault="000F5980" w:rsidP="000F5980">
      <w:pPr>
        <w:pStyle w:val="ListParagraph"/>
        <w:tabs>
          <w:tab w:val="left" w:pos="990"/>
        </w:tabs>
        <w:spacing w:before="120" w:after="120" w:line="400" w:lineRule="atLeast"/>
        <w:ind w:left="0" w:firstLine="567"/>
        <w:contextualSpacing w:val="0"/>
        <w:jc w:val="both"/>
      </w:pPr>
      <w:r>
        <w:rPr>
          <w:spacing w:val="-6"/>
        </w:rPr>
        <w:t xml:space="preserve">1. </w:t>
      </w:r>
      <w:r w:rsidRPr="00400BAA">
        <w:rPr>
          <w:spacing w:val="-6"/>
        </w:rPr>
        <w:t xml:space="preserve">Thông </w:t>
      </w:r>
      <w:r w:rsidRPr="00400BAA">
        <w:rPr>
          <w:color w:val="000000"/>
          <w:spacing w:val="-6"/>
          <w:u w:color="FF0000"/>
        </w:rPr>
        <w:t xml:space="preserve">tư </w:t>
      </w:r>
      <w:r w:rsidRPr="00400BAA">
        <w:rPr>
          <w:spacing w:val="-6"/>
        </w:rPr>
        <w:t>số 43/2024/TT-BTC</w:t>
      </w:r>
      <w:r w:rsidRPr="00991613">
        <w:rPr>
          <w:spacing w:val="-4"/>
        </w:rPr>
        <w:t xml:space="preserve"> ngày 28/6/2024 quy định mức </w:t>
      </w:r>
      <w:proofErr w:type="gramStart"/>
      <w:r w:rsidRPr="00991613">
        <w:rPr>
          <w:spacing w:val="-4"/>
        </w:rPr>
        <w:t>thu</w:t>
      </w:r>
      <w:proofErr w:type="gramEnd"/>
      <w:r w:rsidRPr="00991613">
        <w:rPr>
          <w:spacing w:val="-4"/>
        </w:rPr>
        <w:t xml:space="preserve"> một số khoản phí, lệ phí nhằm tiếp tục </w:t>
      </w:r>
      <w:r w:rsidRPr="00400BAA">
        <w:rPr>
          <w:spacing w:val="-8"/>
        </w:rPr>
        <w:t xml:space="preserve">tháo gỡ </w:t>
      </w:r>
      <w:r w:rsidRPr="00400BAA">
        <w:t>khó khăn, hỗ trợ cho hoạt động sản xuất kinh doanh</w:t>
      </w:r>
      <w:r w:rsidRPr="001948D7">
        <w:t>;</w:t>
      </w:r>
    </w:p>
    <w:p w:rsidR="000F5980" w:rsidRDefault="000F5980" w:rsidP="000F5980">
      <w:pPr>
        <w:pStyle w:val="ListParagraph"/>
        <w:tabs>
          <w:tab w:val="left" w:pos="990"/>
        </w:tabs>
        <w:spacing w:before="120" w:after="120" w:line="400" w:lineRule="atLeast"/>
        <w:ind w:left="0" w:firstLine="567"/>
        <w:contextualSpacing w:val="0"/>
        <w:jc w:val="both"/>
      </w:pPr>
      <w:r>
        <w:rPr>
          <w:spacing w:val="-6"/>
        </w:rPr>
        <w:lastRenderedPageBreak/>
        <w:t xml:space="preserve">2. </w:t>
      </w:r>
      <w:r w:rsidRPr="00400BAA">
        <w:rPr>
          <w:spacing w:val="-6"/>
        </w:rPr>
        <w:t xml:space="preserve">Thông </w:t>
      </w:r>
      <w:r w:rsidRPr="00400BAA">
        <w:rPr>
          <w:color w:val="000000"/>
          <w:spacing w:val="-6"/>
          <w:u w:color="FF0000"/>
        </w:rPr>
        <w:t xml:space="preserve">tư </w:t>
      </w:r>
      <w:r w:rsidRPr="00400BAA">
        <w:t xml:space="preserve">số 33/2024/TT-BTC </w:t>
      </w:r>
      <w:r w:rsidRPr="00400BAA">
        <w:rPr>
          <w:spacing w:val="-2"/>
        </w:rPr>
        <w:t>ngày 16/5/2024 quy định về kinh phí đầu tư xây dựng, duy trì, nâng cấp, quản lý,</w:t>
      </w:r>
      <w:r>
        <w:t xml:space="preserve"> </w:t>
      </w:r>
      <w:r w:rsidRPr="00400BAA">
        <w:t>vận hành cơ sở dữ liệu về giá</w:t>
      </w:r>
      <w:r>
        <w:t>;</w:t>
      </w:r>
      <w:r w:rsidRPr="00084C06">
        <w:t xml:space="preserve"> </w:t>
      </w:r>
    </w:p>
    <w:p w:rsidR="000F5980" w:rsidRDefault="000F5980" w:rsidP="000F5980">
      <w:pPr>
        <w:pStyle w:val="ListParagraph"/>
        <w:tabs>
          <w:tab w:val="left" w:pos="990"/>
        </w:tabs>
        <w:spacing w:before="120" w:after="120" w:line="400" w:lineRule="atLeast"/>
        <w:ind w:left="0" w:firstLine="567"/>
        <w:contextualSpacing w:val="0"/>
        <w:jc w:val="both"/>
        <w:rPr>
          <w:spacing w:val="-4"/>
        </w:rPr>
      </w:pPr>
      <w:r>
        <w:rPr>
          <w:spacing w:val="-6"/>
        </w:rPr>
        <w:t xml:space="preserve">3. </w:t>
      </w:r>
      <w:r w:rsidRPr="00400BAA">
        <w:rPr>
          <w:spacing w:val="-6"/>
        </w:rPr>
        <w:t xml:space="preserve">Thông </w:t>
      </w:r>
      <w:r w:rsidRPr="00400BAA">
        <w:rPr>
          <w:color w:val="000000"/>
          <w:spacing w:val="-6"/>
          <w:u w:color="FF0000"/>
        </w:rPr>
        <w:t xml:space="preserve">tư </w:t>
      </w:r>
      <w:r w:rsidRPr="00084C06">
        <w:t xml:space="preserve">số </w:t>
      </w:r>
      <w:r>
        <w:t>42</w:t>
      </w:r>
      <w:r w:rsidRPr="00084C06">
        <w:t xml:space="preserve">/2024/TT-BTC ngày </w:t>
      </w:r>
      <w:r>
        <w:t>20</w:t>
      </w:r>
      <w:r w:rsidRPr="00084C06">
        <w:t>/</w:t>
      </w:r>
      <w:r>
        <w:t>6</w:t>
      </w:r>
      <w:r w:rsidRPr="00084C06">
        <w:t xml:space="preserve">/2024 </w:t>
      </w:r>
      <w:r w:rsidRPr="00400BAA">
        <w:t>ban hành Chuẩn mực thẩm định giá bất động sản</w:t>
      </w:r>
      <w:r>
        <w:rPr>
          <w:spacing w:val="-4"/>
        </w:rPr>
        <w:t>.</w:t>
      </w:r>
    </w:p>
    <w:p w:rsidR="003A15EC" w:rsidRDefault="003A15EC" w:rsidP="000F5980">
      <w:pPr>
        <w:pStyle w:val="ListParagraph"/>
        <w:tabs>
          <w:tab w:val="left" w:pos="990"/>
        </w:tabs>
        <w:spacing w:before="120" w:after="120" w:line="400" w:lineRule="atLeast"/>
        <w:ind w:left="0" w:firstLine="567"/>
        <w:contextualSpacing w:val="0"/>
        <w:jc w:val="both"/>
        <w:rPr>
          <w:spacing w:val="-4"/>
        </w:rPr>
      </w:pPr>
      <w:r>
        <w:t>4. Thông tư 11/2024/TT-BKHĐT Quy định tiêu chí phân loại, điều kiện thành lập, sát nhập, hợp nhất, giải thể các đơn vị sự nghiệp công lập thuộc ngành, lĩnh vực kế hoạch, đầu tư và thống kê</w:t>
      </w:r>
    </w:p>
    <w:p w:rsidR="000F5980" w:rsidRPr="000F5980" w:rsidRDefault="000F5980" w:rsidP="00FF6E9B">
      <w:pPr>
        <w:pStyle w:val="ListParagraph"/>
        <w:tabs>
          <w:tab w:val="left" w:pos="990"/>
        </w:tabs>
        <w:spacing w:before="120" w:after="120" w:line="400" w:lineRule="atLeast"/>
        <w:ind w:left="0" w:firstLine="709"/>
        <w:contextualSpacing w:val="0"/>
        <w:jc w:val="both"/>
        <w:rPr>
          <w:b/>
        </w:rPr>
      </w:pPr>
      <w:r w:rsidRPr="000F5980">
        <w:rPr>
          <w:b/>
          <w:spacing w:val="-4"/>
        </w:rPr>
        <w:t xml:space="preserve">IV. </w:t>
      </w:r>
      <w:r>
        <w:rPr>
          <w:b/>
          <w:spacing w:val="-4"/>
        </w:rPr>
        <w:t xml:space="preserve">02 </w:t>
      </w:r>
      <w:r w:rsidRPr="000F5980">
        <w:rPr>
          <w:b/>
          <w:spacing w:val="-4"/>
        </w:rPr>
        <w:t xml:space="preserve">NGHỊ QUYẾT, </w:t>
      </w:r>
      <w:r>
        <w:rPr>
          <w:b/>
          <w:spacing w:val="-4"/>
        </w:rPr>
        <w:t xml:space="preserve">03 </w:t>
      </w:r>
      <w:r w:rsidRPr="000F5980">
        <w:rPr>
          <w:b/>
          <w:spacing w:val="-4"/>
        </w:rPr>
        <w:t>QUYẾT ĐỊNH CỦA TỈNH</w:t>
      </w:r>
    </w:p>
    <w:p w:rsidR="000F5980" w:rsidRDefault="000F5980" w:rsidP="000F5980">
      <w:pPr>
        <w:pStyle w:val="ListParagraph"/>
        <w:tabs>
          <w:tab w:val="left" w:pos="990"/>
        </w:tabs>
        <w:spacing w:before="120" w:after="120" w:line="400" w:lineRule="atLeast"/>
        <w:ind w:left="0" w:firstLine="567"/>
        <w:contextualSpacing w:val="0"/>
        <w:jc w:val="both"/>
        <w:rPr>
          <w:spacing w:val="-6"/>
        </w:rPr>
      </w:pPr>
      <w:r>
        <w:rPr>
          <w:spacing w:val="-6"/>
        </w:rPr>
        <w:t xml:space="preserve">1. </w:t>
      </w:r>
      <w:r w:rsidRPr="000F5980">
        <w:rPr>
          <w:spacing w:val="-6"/>
        </w:rPr>
        <w:t xml:space="preserve">Nghị quyết số 03/2024/NQ-HĐND ngày 27/6/2024 của Hội đồng nhân dân tỉnh quy định mức chi bảo đảm cho công tác phổ biến, giáo dục pháp luật, chuẩn tiếp cận pháp luật và hoà giải ở cơ sở trên địa bàn tỉnh Thái Nguyên; </w:t>
      </w:r>
    </w:p>
    <w:p w:rsidR="000F5980" w:rsidRDefault="000F5980" w:rsidP="000F5980">
      <w:pPr>
        <w:pStyle w:val="ListParagraph"/>
        <w:tabs>
          <w:tab w:val="left" w:pos="990"/>
        </w:tabs>
        <w:spacing w:before="120" w:after="120" w:line="400" w:lineRule="atLeast"/>
        <w:ind w:left="0" w:firstLine="567"/>
        <w:contextualSpacing w:val="0"/>
        <w:jc w:val="both"/>
        <w:rPr>
          <w:spacing w:val="-6"/>
        </w:rPr>
      </w:pPr>
      <w:r>
        <w:rPr>
          <w:spacing w:val="-6"/>
        </w:rPr>
        <w:t xml:space="preserve">2. </w:t>
      </w:r>
      <w:r w:rsidRPr="000F5980">
        <w:rPr>
          <w:spacing w:val="-6"/>
        </w:rPr>
        <w:t>Nghị quyết số 05/2024/NQ-HĐND ngày 27/6/2024 của Hội đồng nhân dân tỉnh quy định mức thu học phí và chính sách hỗ trợ tiền đóng học phí tại các cơ sở giáo dục mầm non, giáo dục phổ thông công lập thuộc tỉnh Thái Nguyên quản lý năm học 2024-2025;</w:t>
      </w:r>
    </w:p>
    <w:p w:rsidR="000F5980" w:rsidRDefault="000F5980" w:rsidP="000F5980">
      <w:pPr>
        <w:pStyle w:val="ListParagraph"/>
        <w:tabs>
          <w:tab w:val="left" w:pos="990"/>
        </w:tabs>
        <w:spacing w:before="120" w:after="120" w:line="400" w:lineRule="atLeast"/>
        <w:ind w:left="0" w:firstLine="567"/>
        <w:contextualSpacing w:val="0"/>
        <w:jc w:val="both"/>
        <w:rPr>
          <w:spacing w:val="-6"/>
        </w:rPr>
      </w:pPr>
      <w:r w:rsidRPr="000F5980">
        <w:rPr>
          <w:spacing w:val="-6"/>
        </w:rPr>
        <w:t xml:space="preserve"> </w:t>
      </w:r>
      <w:r>
        <w:rPr>
          <w:spacing w:val="-6"/>
        </w:rPr>
        <w:t xml:space="preserve">3. </w:t>
      </w:r>
      <w:hyperlink r:id="rId8" w:history="1">
        <w:r w:rsidRPr="000F5980">
          <w:rPr>
            <w:spacing w:val="-6"/>
          </w:rPr>
          <w:t>Quyết định số 04/2024/QĐ-UBND ngày 20/3/2024 của UBND tỉnh ban</w:t>
        </w:r>
      </w:hyperlink>
      <w:r w:rsidRPr="000F5980">
        <w:rPr>
          <w:spacing w:val="-6"/>
        </w:rPr>
        <w:t xml:space="preserve"> hành Quy chế quản lý, cập nhật, khai thác và sử dụng Cơ sở dữ liệu về xử lý vi phạm hành chính trên địa bàn tỉnh Thái Nguyên;</w:t>
      </w:r>
    </w:p>
    <w:p w:rsidR="000F5980" w:rsidRDefault="000F5980" w:rsidP="000F5980">
      <w:pPr>
        <w:pStyle w:val="ListParagraph"/>
        <w:tabs>
          <w:tab w:val="left" w:pos="990"/>
        </w:tabs>
        <w:spacing w:before="120" w:after="120" w:line="400" w:lineRule="atLeast"/>
        <w:ind w:left="0" w:firstLine="567"/>
        <w:contextualSpacing w:val="0"/>
        <w:jc w:val="both"/>
        <w:rPr>
          <w:spacing w:val="-6"/>
        </w:rPr>
      </w:pPr>
      <w:r w:rsidRPr="000F5980">
        <w:rPr>
          <w:spacing w:val="-6"/>
        </w:rPr>
        <w:t xml:space="preserve"> </w:t>
      </w:r>
      <w:r>
        <w:rPr>
          <w:spacing w:val="-6"/>
        </w:rPr>
        <w:t xml:space="preserve">4. </w:t>
      </w:r>
      <w:r w:rsidRPr="000F5980">
        <w:rPr>
          <w:spacing w:val="-6"/>
        </w:rPr>
        <w:t xml:space="preserve">Quyết định số 06/2024/QĐ-UBND ngày 12/4/2024 của UBND tỉnh ban hành Quy chế phối hợp xây dựng, duy trì hệ thống thông tin, chia sẻ, cung cấp thông tin, dữ liệu về nhà ở và thị trường bất động sản trên địa bàn tỉnh Thái Nguyên; </w:t>
      </w:r>
    </w:p>
    <w:p w:rsidR="001025FA" w:rsidRDefault="000F5980" w:rsidP="000F5980">
      <w:pPr>
        <w:pStyle w:val="ListParagraph"/>
        <w:tabs>
          <w:tab w:val="left" w:pos="990"/>
        </w:tabs>
        <w:spacing w:before="120" w:after="120" w:line="400" w:lineRule="atLeast"/>
        <w:ind w:left="0" w:firstLine="567"/>
        <w:contextualSpacing w:val="0"/>
        <w:jc w:val="both"/>
        <w:rPr>
          <w:spacing w:val="-6"/>
        </w:rPr>
      </w:pPr>
      <w:r>
        <w:rPr>
          <w:spacing w:val="-6"/>
        </w:rPr>
        <w:t xml:space="preserve">5. </w:t>
      </w:r>
      <w:r w:rsidRPr="000F5980">
        <w:rPr>
          <w:spacing w:val="-6"/>
        </w:rPr>
        <w:t>Quyết định số 15/2024/QĐ-UBND ngày 11/6/2024 của UBND tỉnh ban hành Quy định về thi, đua khen thưởng của tỉnh Thái Nguyên</w:t>
      </w:r>
      <w:r>
        <w:rPr>
          <w:spacing w:val="-6"/>
        </w:rPr>
        <w:t>.</w:t>
      </w:r>
    </w:p>
    <w:p w:rsidR="003A15EC" w:rsidRPr="000F5980" w:rsidRDefault="003A15EC" w:rsidP="000F5980">
      <w:pPr>
        <w:pStyle w:val="ListParagraph"/>
        <w:tabs>
          <w:tab w:val="left" w:pos="990"/>
        </w:tabs>
        <w:spacing w:before="120" w:after="120" w:line="400" w:lineRule="atLeast"/>
        <w:ind w:left="0" w:firstLine="567"/>
        <w:contextualSpacing w:val="0"/>
        <w:jc w:val="both"/>
        <w:rPr>
          <w:spacing w:val="-6"/>
        </w:rPr>
      </w:pPr>
      <w:bookmarkStart w:id="0" w:name="_GoBack"/>
      <w:bookmarkEnd w:id="0"/>
    </w:p>
    <w:sectPr w:rsidR="003A15EC" w:rsidRPr="000F5980" w:rsidSect="00377533">
      <w:pgSz w:w="11907" w:h="16840" w:code="9"/>
      <w:pgMar w:top="1134"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4DA" w:rsidRDefault="00F164DA" w:rsidP="00527C87">
      <w:pPr>
        <w:spacing w:after="0" w:line="240" w:lineRule="auto"/>
      </w:pPr>
      <w:r>
        <w:separator/>
      </w:r>
    </w:p>
  </w:endnote>
  <w:endnote w:type="continuationSeparator" w:id="0">
    <w:p w:rsidR="00F164DA" w:rsidRDefault="00F164DA" w:rsidP="0052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4DA" w:rsidRDefault="00F164DA" w:rsidP="00527C87">
      <w:pPr>
        <w:spacing w:after="0" w:line="240" w:lineRule="auto"/>
      </w:pPr>
      <w:r>
        <w:separator/>
      </w:r>
    </w:p>
  </w:footnote>
  <w:footnote w:type="continuationSeparator" w:id="0">
    <w:p w:rsidR="00F164DA" w:rsidRDefault="00F164DA" w:rsidP="00527C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F4"/>
    <w:rsid w:val="00005F86"/>
    <w:rsid w:val="00025D0C"/>
    <w:rsid w:val="00033BBC"/>
    <w:rsid w:val="00035A0E"/>
    <w:rsid w:val="00044D9E"/>
    <w:rsid w:val="00045008"/>
    <w:rsid w:val="00061DA4"/>
    <w:rsid w:val="000877B8"/>
    <w:rsid w:val="000877F6"/>
    <w:rsid w:val="000A0C6C"/>
    <w:rsid w:val="000A47F9"/>
    <w:rsid w:val="000C0480"/>
    <w:rsid w:val="000C14C6"/>
    <w:rsid w:val="000C1946"/>
    <w:rsid w:val="000C4E9A"/>
    <w:rsid w:val="000C622D"/>
    <w:rsid w:val="000D4AD2"/>
    <w:rsid w:val="000E3370"/>
    <w:rsid w:val="000F5980"/>
    <w:rsid w:val="001025FA"/>
    <w:rsid w:val="00105FC3"/>
    <w:rsid w:val="00124E46"/>
    <w:rsid w:val="001408DA"/>
    <w:rsid w:val="001506ED"/>
    <w:rsid w:val="00151B3A"/>
    <w:rsid w:val="00156E69"/>
    <w:rsid w:val="00164C7A"/>
    <w:rsid w:val="001663C3"/>
    <w:rsid w:val="00167466"/>
    <w:rsid w:val="00170AB5"/>
    <w:rsid w:val="001755CC"/>
    <w:rsid w:val="0017771F"/>
    <w:rsid w:val="00182D5C"/>
    <w:rsid w:val="00183C04"/>
    <w:rsid w:val="001964D1"/>
    <w:rsid w:val="001C657A"/>
    <w:rsid w:val="001E1006"/>
    <w:rsid w:val="001F2D2B"/>
    <w:rsid w:val="001F61D3"/>
    <w:rsid w:val="00204933"/>
    <w:rsid w:val="0021506F"/>
    <w:rsid w:val="00232308"/>
    <w:rsid w:val="00241992"/>
    <w:rsid w:val="00245453"/>
    <w:rsid w:val="00251EF2"/>
    <w:rsid w:val="0026068A"/>
    <w:rsid w:val="00271B76"/>
    <w:rsid w:val="00282C3C"/>
    <w:rsid w:val="00287FBD"/>
    <w:rsid w:val="002A3DF5"/>
    <w:rsid w:val="002A76D6"/>
    <w:rsid w:val="002B0B82"/>
    <w:rsid w:val="002B12B3"/>
    <w:rsid w:val="002B3270"/>
    <w:rsid w:val="002D79A3"/>
    <w:rsid w:val="002D7D46"/>
    <w:rsid w:val="002E0575"/>
    <w:rsid w:val="002E07A2"/>
    <w:rsid w:val="002E1A9E"/>
    <w:rsid w:val="002F56CF"/>
    <w:rsid w:val="00311D78"/>
    <w:rsid w:val="003138BA"/>
    <w:rsid w:val="00316294"/>
    <w:rsid w:val="00316DBE"/>
    <w:rsid w:val="0032019E"/>
    <w:rsid w:val="003237C6"/>
    <w:rsid w:val="00326EBF"/>
    <w:rsid w:val="00336074"/>
    <w:rsid w:val="00342DD9"/>
    <w:rsid w:val="003633AE"/>
    <w:rsid w:val="00363476"/>
    <w:rsid w:val="00363639"/>
    <w:rsid w:val="00377533"/>
    <w:rsid w:val="00384253"/>
    <w:rsid w:val="00386D2C"/>
    <w:rsid w:val="003919FA"/>
    <w:rsid w:val="0039311B"/>
    <w:rsid w:val="003A15EC"/>
    <w:rsid w:val="003A5B7A"/>
    <w:rsid w:val="003C2E1B"/>
    <w:rsid w:val="003C3290"/>
    <w:rsid w:val="003C381F"/>
    <w:rsid w:val="003C66A7"/>
    <w:rsid w:val="003D34E7"/>
    <w:rsid w:val="003E69CA"/>
    <w:rsid w:val="0041197F"/>
    <w:rsid w:val="00412F90"/>
    <w:rsid w:val="00415BD5"/>
    <w:rsid w:val="004160AB"/>
    <w:rsid w:val="00423D84"/>
    <w:rsid w:val="00425738"/>
    <w:rsid w:val="00432C67"/>
    <w:rsid w:val="0043515D"/>
    <w:rsid w:val="00447607"/>
    <w:rsid w:val="00455A4A"/>
    <w:rsid w:val="00457609"/>
    <w:rsid w:val="004810EA"/>
    <w:rsid w:val="0049201E"/>
    <w:rsid w:val="00494BC0"/>
    <w:rsid w:val="004A50C4"/>
    <w:rsid w:val="004A5181"/>
    <w:rsid w:val="004A6946"/>
    <w:rsid w:val="004C6B23"/>
    <w:rsid w:val="004D44C2"/>
    <w:rsid w:val="004E1506"/>
    <w:rsid w:val="004E5A47"/>
    <w:rsid w:val="004E7CE2"/>
    <w:rsid w:val="004F57B3"/>
    <w:rsid w:val="00500641"/>
    <w:rsid w:val="0050441E"/>
    <w:rsid w:val="00510C52"/>
    <w:rsid w:val="00520779"/>
    <w:rsid w:val="00525720"/>
    <w:rsid w:val="00527C87"/>
    <w:rsid w:val="00533C22"/>
    <w:rsid w:val="00541618"/>
    <w:rsid w:val="00563704"/>
    <w:rsid w:val="005706F6"/>
    <w:rsid w:val="005901CA"/>
    <w:rsid w:val="0059024D"/>
    <w:rsid w:val="005A3C77"/>
    <w:rsid w:val="005B19BF"/>
    <w:rsid w:val="005B31C6"/>
    <w:rsid w:val="005C3D4F"/>
    <w:rsid w:val="005C746F"/>
    <w:rsid w:val="005D1382"/>
    <w:rsid w:val="005D1F60"/>
    <w:rsid w:val="005F7F1A"/>
    <w:rsid w:val="00613452"/>
    <w:rsid w:val="00614AF4"/>
    <w:rsid w:val="00641CE0"/>
    <w:rsid w:val="00642FC6"/>
    <w:rsid w:val="00660BFA"/>
    <w:rsid w:val="006679A3"/>
    <w:rsid w:val="00684EB6"/>
    <w:rsid w:val="00685F8C"/>
    <w:rsid w:val="006A0087"/>
    <w:rsid w:val="006A026A"/>
    <w:rsid w:val="006A0443"/>
    <w:rsid w:val="006A382E"/>
    <w:rsid w:val="006B4E73"/>
    <w:rsid w:val="006B5E53"/>
    <w:rsid w:val="006C118C"/>
    <w:rsid w:val="006C11C1"/>
    <w:rsid w:val="006C4C33"/>
    <w:rsid w:val="006C503C"/>
    <w:rsid w:val="006C6C21"/>
    <w:rsid w:val="006E00AA"/>
    <w:rsid w:val="006E2AB1"/>
    <w:rsid w:val="006F29C8"/>
    <w:rsid w:val="00704550"/>
    <w:rsid w:val="00711D4D"/>
    <w:rsid w:val="00724850"/>
    <w:rsid w:val="00730A5A"/>
    <w:rsid w:val="00747499"/>
    <w:rsid w:val="00790E3B"/>
    <w:rsid w:val="007945D5"/>
    <w:rsid w:val="007B2EFF"/>
    <w:rsid w:val="007B7ACC"/>
    <w:rsid w:val="007D23A9"/>
    <w:rsid w:val="007D72A1"/>
    <w:rsid w:val="007D7E61"/>
    <w:rsid w:val="007F4BBD"/>
    <w:rsid w:val="007F5B23"/>
    <w:rsid w:val="008027E9"/>
    <w:rsid w:val="00804417"/>
    <w:rsid w:val="00811E0A"/>
    <w:rsid w:val="008126FB"/>
    <w:rsid w:val="00821572"/>
    <w:rsid w:val="00841149"/>
    <w:rsid w:val="00860FB1"/>
    <w:rsid w:val="00880AAD"/>
    <w:rsid w:val="008851F8"/>
    <w:rsid w:val="008A33FE"/>
    <w:rsid w:val="008B78A0"/>
    <w:rsid w:val="008C5026"/>
    <w:rsid w:val="008D0BB8"/>
    <w:rsid w:val="008D6C31"/>
    <w:rsid w:val="008E73B8"/>
    <w:rsid w:val="008F4768"/>
    <w:rsid w:val="008F66CD"/>
    <w:rsid w:val="00901216"/>
    <w:rsid w:val="009046BD"/>
    <w:rsid w:val="0090559A"/>
    <w:rsid w:val="009063A6"/>
    <w:rsid w:val="009100DF"/>
    <w:rsid w:val="00917D08"/>
    <w:rsid w:val="00924DDE"/>
    <w:rsid w:val="00943B1C"/>
    <w:rsid w:val="00950611"/>
    <w:rsid w:val="00977337"/>
    <w:rsid w:val="009819E6"/>
    <w:rsid w:val="00983912"/>
    <w:rsid w:val="009A1FCD"/>
    <w:rsid w:val="009B21B5"/>
    <w:rsid w:val="009C150B"/>
    <w:rsid w:val="009C4320"/>
    <w:rsid w:val="009C6D81"/>
    <w:rsid w:val="009D005A"/>
    <w:rsid w:val="009D0ACB"/>
    <w:rsid w:val="009D2AA9"/>
    <w:rsid w:val="009F272C"/>
    <w:rsid w:val="00A16EF6"/>
    <w:rsid w:val="00A17AF4"/>
    <w:rsid w:val="00A21304"/>
    <w:rsid w:val="00A351D0"/>
    <w:rsid w:val="00A41D6A"/>
    <w:rsid w:val="00A500BA"/>
    <w:rsid w:val="00A77C93"/>
    <w:rsid w:val="00A8294E"/>
    <w:rsid w:val="00A92C0E"/>
    <w:rsid w:val="00AA7114"/>
    <w:rsid w:val="00AB59F1"/>
    <w:rsid w:val="00AB7489"/>
    <w:rsid w:val="00AC40DA"/>
    <w:rsid w:val="00AC6246"/>
    <w:rsid w:val="00AE1472"/>
    <w:rsid w:val="00AE3FA6"/>
    <w:rsid w:val="00AE5B1F"/>
    <w:rsid w:val="00B02FB7"/>
    <w:rsid w:val="00B263CA"/>
    <w:rsid w:val="00B343C8"/>
    <w:rsid w:val="00B3570C"/>
    <w:rsid w:val="00B41CBB"/>
    <w:rsid w:val="00B511A3"/>
    <w:rsid w:val="00B51229"/>
    <w:rsid w:val="00B51A4B"/>
    <w:rsid w:val="00B564E7"/>
    <w:rsid w:val="00B60C0A"/>
    <w:rsid w:val="00B63AE0"/>
    <w:rsid w:val="00B75BC3"/>
    <w:rsid w:val="00B80472"/>
    <w:rsid w:val="00B8682A"/>
    <w:rsid w:val="00B95523"/>
    <w:rsid w:val="00BB1EC6"/>
    <w:rsid w:val="00BB769B"/>
    <w:rsid w:val="00BC4435"/>
    <w:rsid w:val="00BC7097"/>
    <w:rsid w:val="00BE4195"/>
    <w:rsid w:val="00BE6938"/>
    <w:rsid w:val="00BE72A2"/>
    <w:rsid w:val="00BF3A86"/>
    <w:rsid w:val="00C102E6"/>
    <w:rsid w:val="00C11C03"/>
    <w:rsid w:val="00C22476"/>
    <w:rsid w:val="00C2251F"/>
    <w:rsid w:val="00C2598B"/>
    <w:rsid w:val="00C37C03"/>
    <w:rsid w:val="00C37C2D"/>
    <w:rsid w:val="00C42552"/>
    <w:rsid w:val="00C52488"/>
    <w:rsid w:val="00C70AAF"/>
    <w:rsid w:val="00C70F83"/>
    <w:rsid w:val="00C72271"/>
    <w:rsid w:val="00C76BC4"/>
    <w:rsid w:val="00C974D8"/>
    <w:rsid w:val="00CA4368"/>
    <w:rsid w:val="00CB1B91"/>
    <w:rsid w:val="00CB2D39"/>
    <w:rsid w:val="00CB7125"/>
    <w:rsid w:val="00CD59AA"/>
    <w:rsid w:val="00CE2D59"/>
    <w:rsid w:val="00CE5EE8"/>
    <w:rsid w:val="00CE616A"/>
    <w:rsid w:val="00CF0159"/>
    <w:rsid w:val="00D00940"/>
    <w:rsid w:val="00D04221"/>
    <w:rsid w:val="00D312FA"/>
    <w:rsid w:val="00D34934"/>
    <w:rsid w:val="00D36373"/>
    <w:rsid w:val="00D56685"/>
    <w:rsid w:val="00D649E3"/>
    <w:rsid w:val="00D6651E"/>
    <w:rsid w:val="00D73C9D"/>
    <w:rsid w:val="00D841D6"/>
    <w:rsid w:val="00D92527"/>
    <w:rsid w:val="00D968AD"/>
    <w:rsid w:val="00DA1627"/>
    <w:rsid w:val="00DA3424"/>
    <w:rsid w:val="00DA6498"/>
    <w:rsid w:val="00DA65F1"/>
    <w:rsid w:val="00DA7592"/>
    <w:rsid w:val="00DB33A0"/>
    <w:rsid w:val="00DB6492"/>
    <w:rsid w:val="00DC691D"/>
    <w:rsid w:val="00DC6FF3"/>
    <w:rsid w:val="00DC7E90"/>
    <w:rsid w:val="00DD2B82"/>
    <w:rsid w:val="00DD5F54"/>
    <w:rsid w:val="00DF0444"/>
    <w:rsid w:val="00E03A33"/>
    <w:rsid w:val="00E24F9F"/>
    <w:rsid w:val="00E31EBB"/>
    <w:rsid w:val="00E34DB3"/>
    <w:rsid w:val="00E41F08"/>
    <w:rsid w:val="00E55372"/>
    <w:rsid w:val="00E71006"/>
    <w:rsid w:val="00E90D70"/>
    <w:rsid w:val="00EB1272"/>
    <w:rsid w:val="00EB4CCC"/>
    <w:rsid w:val="00EC0C4D"/>
    <w:rsid w:val="00EC33C1"/>
    <w:rsid w:val="00ED10AF"/>
    <w:rsid w:val="00ED456B"/>
    <w:rsid w:val="00EE525B"/>
    <w:rsid w:val="00EF051A"/>
    <w:rsid w:val="00EF307F"/>
    <w:rsid w:val="00F00426"/>
    <w:rsid w:val="00F01337"/>
    <w:rsid w:val="00F078DE"/>
    <w:rsid w:val="00F117F5"/>
    <w:rsid w:val="00F164DA"/>
    <w:rsid w:val="00F262A4"/>
    <w:rsid w:val="00F37456"/>
    <w:rsid w:val="00F43581"/>
    <w:rsid w:val="00F52577"/>
    <w:rsid w:val="00F64887"/>
    <w:rsid w:val="00F7023F"/>
    <w:rsid w:val="00F705FE"/>
    <w:rsid w:val="00F877A6"/>
    <w:rsid w:val="00FB0AB8"/>
    <w:rsid w:val="00FB0E85"/>
    <w:rsid w:val="00FB3970"/>
    <w:rsid w:val="00FC0777"/>
    <w:rsid w:val="00FD5929"/>
    <w:rsid w:val="00FF34CA"/>
    <w:rsid w:val="00FF6E9B"/>
    <w:rsid w:val="00FF7E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10"/>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D84"/>
  </w:style>
  <w:style w:type="paragraph" w:styleId="Heading2">
    <w:name w:val="heading 2"/>
    <w:basedOn w:val="Normal"/>
    <w:next w:val="Normal"/>
    <w:link w:val="Heading2Char"/>
    <w:qFormat/>
    <w:rsid w:val="00241992"/>
    <w:pPr>
      <w:keepNext/>
      <w:spacing w:after="120" w:line="240" w:lineRule="auto"/>
      <w:jc w:val="both"/>
      <w:outlineLvl w:val="1"/>
    </w:pPr>
    <w:rPr>
      <w:rFonts w:ascii=".VnTime" w:eastAsia="Times New Roman"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C87"/>
  </w:style>
  <w:style w:type="paragraph" w:styleId="Footer">
    <w:name w:val="footer"/>
    <w:basedOn w:val="Normal"/>
    <w:link w:val="FooterChar"/>
    <w:uiPriority w:val="99"/>
    <w:unhideWhenUsed/>
    <w:rsid w:val="005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C87"/>
  </w:style>
  <w:style w:type="paragraph" w:styleId="BodyText">
    <w:name w:val="Body Text"/>
    <w:basedOn w:val="Normal"/>
    <w:link w:val="BodyTextChar"/>
    <w:rsid w:val="00BC7097"/>
    <w:pPr>
      <w:spacing w:after="0" w:line="240" w:lineRule="auto"/>
      <w:jc w:val="both"/>
    </w:pPr>
    <w:rPr>
      <w:rFonts w:ascii=".VnTime" w:eastAsia="Times New Roman" w:hAnsi=".VnTime"/>
      <w:sz w:val="28"/>
      <w:szCs w:val="20"/>
      <w:lang w:val="en-GB"/>
    </w:rPr>
  </w:style>
  <w:style w:type="character" w:customStyle="1" w:styleId="BodyTextChar">
    <w:name w:val="Body Text Char"/>
    <w:basedOn w:val="DefaultParagraphFont"/>
    <w:link w:val="BodyText"/>
    <w:rsid w:val="00BC7097"/>
    <w:rPr>
      <w:rFonts w:ascii=".VnTime" w:eastAsia="Times New Roman" w:hAnsi=".VnTime"/>
      <w:sz w:val="28"/>
      <w:szCs w:val="20"/>
      <w:lang w:val="en-GB"/>
    </w:rPr>
  </w:style>
  <w:style w:type="character" w:styleId="Hyperlink">
    <w:name w:val="Hyperlink"/>
    <w:basedOn w:val="DefaultParagraphFont"/>
    <w:uiPriority w:val="99"/>
    <w:unhideWhenUsed/>
    <w:rsid w:val="00F262A4"/>
    <w:rPr>
      <w:color w:val="0000FF" w:themeColor="hyperlink"/>
      <w:u w:val="single"/>
    </w:rPr>
  </w:style>
  <w:style w:type="character" w:customStyle="1" w:styleId="Heading2Char">
    <w:name w:val="Heading 2 Char"/>
    <w:basedOn w:val="DefaultParagraphFont"/>
    <w:link w:val="Heading2"/>
    <w:rsid w:val="00241992"/>
    <w:rPr>
      <w:rFonts w:ascii=".VnTime" w:eastAsia="Times New Roman" w:hAnsi=".VnTime"/>
      <w:b/>
      <w:sz w:val="28"/>
      <w:szCs w:val="20"/>
    </w:rPr>
  </w:style>
  <w:style w:type="table" w:styleId="TableGrid">
    <w:name w:val="Table Grid"/>
    <w:basedOn w:val="TableNormal"/>
    <w:uiPriority w:val="59"/>
    <w:rsid w:val="00241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2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1B5"/>
    <w:rPr>
      <w:rFonts w:ascii="Tahoma" w:hAnsi="Tahoma" w:cs="Tahoma"/>
      <w:sz w:val="16"/>
      <w:szCs w:val="16"/>
    </w:rPr>
  </w:style>
  <w:style w:type="paragraph" w:styleId="ListBullet">
    <w:name w:val="List Bullet"/>
    <w:basedOn w:val="Normal"/>
    <w:autoRedefine/>
    <w:unhideWhenUsed/>
    <w:rsid w:val="00C37C03"/>
    <w:pPr>
      <w:spacing w:after="0" w:line="260" w:lineRule="exact"/>
      <w:ind w:hanging="108"/>
      <w:jc w:val="both"/>
    </w:pPr>
    <w:rPr>
      <w:rFonts w:eastAsia="Times New Roman"/>
      <w:spacing w:val="-8"/>
      <w:sz w:val="22"/>
      <w:szCs w:val="22"/>
      <w:lang w:val="vi-VN"/>
    </w:rPr>
  </w:style>
  <w:style w:type="paragraph" w:styleId="FootnoteText">
    <w:name w:val="footnote text"/>
    <w:basedOn w:val="Normal"/>
    <w:link w:val="FootnoteTextChar"/>
    <w:rsid w:val="00167466"/>
    <w:pPr>
      <w:spacing w:after="0" w:line="240" w:lineRule="auto"/>
    </w:pPr>
    <w:rPr>
      <w:rFonts w:ascii=".VnTime" w:eastAsia="Times New Roman" w:hAnsi=".VnTime"/>
      <w:color w:val="0000FF"/>
      <w:sz w:val="20"/>
      <w:szCs w:val="20"/>
    </w:rPr>
  </w:style>
  <w:style w:type="character" w:customStyle="1" w:styleId="FootnoteTextChar">
    <w:name w:val="Footnote Text Char"/>
    <w:basedOn w:val="DefaultParagraphFont"/>
    <w:link w:val="FootnoteText"/>
    <w:rsid w:val="00167466"/>
    <w:rPr>
      <w:rFonts w:ascii=".VnTime" w:eastAsia="Times New Roman" w:hAnsi=".VnTime"/>
      <w:color w:val="0000FF"/>
      <w:sz w:val="20"/>
      <w:szCs w:val="20"/>
    </w:rPr>
  </w:style>
  <w:style w:type="character" w:styleId="FootnoteReference">
    <w:name w:val="footnote reference"/>
    <w:rsid w:val="00167466"/>
    <w:rPr>
      <w:vertAlign w:val="superscript"/>
    </w:rPr>
  </w:style>
  <w:style w:type="paragraph" w:styleId="ListParagraph">
    <w:name w:val="List Paragraph"/>
    <w:basedOn w:val="Normal"/>
    <w:uiPriority w:val="34"/>
    <w:qFormat/>
    <w:rsid w:val="000F5980"/>
    <w:pPr>
      <w:ind w:left="720"/>
      <w:contextualSpacing/>
    </w:pPr>
    <w:rPr>
      <w:rFonts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10"/>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D84"/>
  </w:style>
  <w:style w:type="paragraph" w:styleId="Heading2">
    <w:name w:val="heading 2"/>
    <w:basedOn w:val="Normal"/>
    <w:next w:val="Normal"/>
    <w:link w:val="Heading2Char"/>
    <w:qFormat/>
    <w:rsid w:val="00241992"/>
    <w:pPr>
      <w:keepNext/>
      <w:spacing w:after="120" w:line="240" w:lineRule="auto"/>
      <w:jc w:val="both"/>
      <w:outlineLvl w:val="1"/>
    </w:pPr>
    <w:rPr>
      <w:rFonts w:ascii=".VnTime" w:eastAsia="Times New Roman"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C87"/>
  </w:style>
  <w:style w:type="paragraph" w:styleId="Footer">
    <w:name w:val="footer"/>
    <w:basedOn w:val="Normal"/>
    <w:link w:val="FooterChar"/>
    <w:uiPriority w:val="99"/>
    <w:unhideWhenUsed/>
    <w:rsid w:val="005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C87"/>
  </w:style>
  <w:style w:type="paragraph" w:styleId="BodyText">
    <w:name w:val="Body Text"/>
    <w:basedOn w:val="Normal"/>
    <w:link w:val="BodyTextChar"/>
    <w:rsid w:val="00BC7097"/>
    <w:pPr>
      <w:spacing w:after="0" w:line="240" w:lineRule="auto"/>
      <w:jc w:val="both"/>
    </w:pPr>
    <w:rPr>
      <w:rFonts w:ascii=".VnTime" w:eastAsia="Times New Roman" w:hAnsi=".VnTime"/>
      <w:sz w:val="28"/>
      <w:szCs w:val="20"/>
      <w:lang w:val="en-GB"/>
    </w:rPr>
  </w:style>
  <w:style w:type="character" w:customStyle="1" w:styleId="BodyTextChar">
    <w:name w:val="Body Text Char"/>
    <w:basedOn w:val="DefaultParagraphFont"/>
    <w:link w:val="BodyText"/>
    <w:rsid w:val="00BC7097"/>
    <w:rPr>
      <w:rFonts w:ascii=".VnTime" w:eastAsia="Times New Roman" w:hAnsi=".VnTime"/>
      <w:sz w:val="28"/>
      <w:szCs w:val="20"/>
      <w:lang w:val="en-GB"/>
    </w:rPr>
  </w:style>
  <w:style w:type="character" w:styleId="Hyperlink">
    <w:name w:val="Hyperlink"/>
    <w:basedOn w:val="DefaultParagraphFont"/>
    <w:uiPriority w:val="99"/>
    <w:unhideWhenUsed/>
    <w:rsid w:val="00F262A4"/>
    <w:rPr>
      <w:color w:val="0000FF" w:themeColor="hyperlink"/>
      <w:u w:val="single"/>
    </w:rPr>
  </w:style>
  <w:style w:type="character" w:customStyle="1" w:styleId="Heading2Char">
    <w:name w:val="Heading 2 Char"/>
    <w:basedOn w:val="DefaultParagraphFont"/>
    <w:link w:val="Heading2"/>
    <w:rsid w:val="00241992"/>
    <w:rPr>
      <w:rFonts w:ascii=".VnTime" w:eastAsia="Times New Roman" w:hAnsi=".VnTime"/>
      <w:b/>
      <w:sz w:val="28"/>
      <w:szCs w:val="20"/>
    </w:rPr>
  </w:style>
  <w:style w:type="table" w:styleId="TableGrid">
    <w:name w:val="Table Grid"/>
    <w:basedOn w:val="TableNormal"/>
    <w:uiPriority w:val="59"/>
    <w:rsid w:val="00241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2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1B5"/>
    <w:rPr>
      <w:rFonts w:ascii="Tahoma" w:hAnsi="Tahoma" w:cs="Tahoma"/>
      <w:sz w:val="16"/>
      <w:szCs w:val="16"/>
    </w:rPr>
  </w:style>
  <w:style w:type="paragraph" w:styleId="ListBullet">
    <w:name w:val="List Bullet"/>
    <w:basedOn w:val="Normal"/>
    <w:autoRedefine/>
    <w:unhideWhenUsed/>
    <w:rsid w:val="00C37C03"/>
    <w:pPr>
      <w:spacing w:after="0" w:line="260" w:lineRule="exact"/>
      <w:ind w:hanging="108"/>
      <w:jc w:val="both"/>
    </w:pPr>
    <w:rPr>
      <w:rFonts w:eastAsia="Times New Roman"/>
      <w:spacing w:val="-8"/>
      <w:sz w:val="22"/>
      <w:szCs w:val="22"/>
      <w:lang w:val="vi-VN"/>
    </w:rPr>
  </w:style>
  <w:style w:type="paragraph" w:styleId="FootnoteText">
    <w:name w:val="footnote text"/>
    <w:basedOn w:val="Normal"/>
    <w:link w:val="FootnoteTextChar"/>
    <w:rsid w:val="00167466"/>
    <w:pPr>
      <w:spacing w:after="0" w:line="240" w:lineRule="auto"/>
    </w:pPr>
    <w:rPr>
      <w:rFonts w:ascii=".VnTime" w:eastAsia="Times New Roman" w:hAnsi=".VnTime"/>
      <w:color w:val="0000FF"/>
      <w:sz w:val="20"/>
      <w:szCs w:val="20"/>
    </w:rPr>
  </w:style>
  <w:style w:type="character" w:customStyle="1" w:styleId="FootnoteTextChar">
    <w:name w:val="Footnote Text Char"/>
    <w:basedOn w:val="DefaultParagraphFont"/>
    <w:link w:val="FootnoteText"/>
    <w:rsid w:val="00167466"/>
    <w:rPr>
      <w:rFonts w:ascii=".VnTime" w:eastAsia="Times New Roman" w:hAnsi=".VnTime"/>
      <w:color w:val="0000FF"/>
      <w:sz w:val="20"/>
      <w:szCs w:val="20"/>
    </w:rPr>
  </w:style>
  <w:style w:type="character" w:styleId="FootnoteReference">
    <w:name w:val="footnote reference"/>
    <w:rsid w:val="00167466"/>
    <w:rPr>
      <w:vertAlign w:val="superscript"/>
    </w:rPr>
  </w:style>
  <w:style w:type="paragraph" w:styleId="ListParagraph">
    <w:name w:val="List Paragraph"/>
    <w:basedOn w:val="Normal"/>
    <w:uiPriority w:val="34"/>
    <w:qFormat/>
    <w:rsid w:val="000F5980"/>
    <w:pPr>
      <w:ind w:left="720"/>
      <w:contextualSpacing/>
    </w:pPr>
    <w:rPr>
      <w:rFonts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10598">
      <w:bodyDiv w:val="1"/>
      <w:marLeft w:val="0"/>
      <w:marRight w:val="0"/>
      <w:marTop w:val="0"/>
      <w:marBottom w:val="0"/>
      <w:divBdr>
        <w:top w:val="none" w:sz="0" w:space="0" w:color="auto"/>
        <w:left w:val="none" w:sz="0" w:space="0" w:color="auto"/>
        <w:bottom w:val="none" w:sz="0" w:space="0" w:color="auto"/>
        <w:right w:val="none" w:sz="0" w:space="0" w:color="auto"/>
      </w:divBdr>
    </w:div>
    <w:div w:id="348141694">
      <w:bodyDiv w:val="1"/>
      <w:marLeft w:val="0"/>
      <w:marRight w:val="0"/>
      <w:marTop w:val="0"/>
      <w:marBottom w:val="0"/>
      <w:divBdr>
        <w:top w:val="none" w:sz="0" w:space="0" w:color="auto"/>
        <w:left w:val="none" w:sz="0" w:space="0" w:color="auto"/>
        <w:bottom w:val="none" w:sz="0" w:space="0" w:color="auto"/>
        <w:right w:val="none" w:sz="0" w:space="0" w:color="auto"/>
      </w:divBdr>
    </w:div>
    <w:div w:id="12172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gbaothainguyen.gov.vn/trang-chu?p_p_id=frontend_WAR_portaltnncongbaoportlet&amp;p_p_lifecycle=0&amp;p_p_state=normal&amp;p_p_mode=view&amp;p_p_col_id=column-1&amp;p_p_col_pos=1&amp;p_p_col_count=5&amp;_frontend_WAR_portaltnncongbaoportlet_vanBanId=470254&amp;_frontend_WAR_portaltnncongbaoportlet_backUrl=http%3A%2F%2Fcongbaothainguyen.gov.vn%2Ftrang-chu%3Fp_p_id%3Dfrontend_WAR_portaltnncongbaoportlet%26p_p_lifecycle%3D0%26p_p_state%3Dnormal%26p_p_mode%3Dview%26p_p_col_id%3Dcolumn-1%26p_p_col_pos%3D1%26p_p_col_count%3D5%26_frontend_WAR_portaltnncongbaoportlet_year%3D2024%26_frontend_WAR_portaltnncongbaoportlet_congBaoId%3D78601&amp;_frontend_WAR_portaltnncongbaoportlet_mvcPath=%2Fhtml%2Ffrontend%2Fdetail.jsp&amp;_frontend_WAR_portaltnncongbaoportlet_congBaoId=7860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DCF68-D552-4E56-8469-6C4B8E30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21AK22</cp:lastModifiedBy>
  <cp:revision>4</cp:revision>
  <cp:lastPrinted>2024-07-10T04:29:00Z</cp:lastPrinted>
  <dcterms:created xsi:type="dcterms:W3CDTF">2024-07-11T09:46:00Z</dcterms:created>
  <dcterms:modified xsi:type="dcterms:W3CDTF">2024-07-11T09:47:00Z</dcterms:modified>
</cp:coreProperties>
</file>